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98"/>
        <w:gridCol w:w="992"/>
        <w:gridCol w:w="4461"/>
      </w:tblGrid>
      <w:tr>
        <w:trPr>
          <w:trHeight w:val="1701" w:hRule="atLeast"/>
        </w:trPr>
        <w:tc>
          <w:tcPr>
            <w:tcW w:w="4498" w:type="dxa"/>
            <w:tcBorders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4"/>
                <w:szCs w:val="4"/>
                <w:lang w:val="en-US"/>
              </w:rPr>
            </w:pPr>
            <w:r>
              <w:rPr>
                <w:sz w:val="4"/>
                <w:szCs w:val="4"/>
                <w:lang w:val="en-US"/>
              </w:rPr>
            </w:r>
          </w:p>
          <w:p>
            <w:pPr>
              <w:pStyle w:val="Normal"/>
              <w:widowControl w:val="false"/>
              <w:shd w:val="clear" w:color="auto" w:fill="FFFFFF"/>
              <w:ind w:right="14" w:hanging="0"/>
              <w:jc w:val="center"/>
              <w:rPr>
                <w:sz w:val="28"/>
                <w:szCs w:val="28"/>
              </w:rPr>
            </w:pPr>
            <w:r>
              <w:rPr>
                <w:spacing w:val="-13"/>
                <w:sz w:val="28"/>
                <w:szCs w:val="28"/>
              </w:rPr>
              <w:t>ИСПОЛНИТЕЛЬНЫЙ  КОМИТЕТ</w:t>
            </w:r>
          </w:p>
          <w:p>
            <w:pPr>
              <w:pStyle w:val="Normal"/>
              <w:widowControl w:val="false"/>
              <w:shd w:val="clear" w:color="auto" w:fill="FFFFFF"/>
              <w:ind w:right="-108" w:hanging="0"/>
              <w:jc w:val="center"/>
              <w:rPr>
                <w:sz w:val="28"/>
                <w:szCs w:val="28"/>
              </w:rPr>
            </w:pPr>
            <w:r>
              <w:rPr>
                <w:bCs/>
                <w:spacing w:val="-28"/>
                <w:sz w:val="28"/>
                <w:szCs w:val="28"/>
              </w:rPr>
              <w:t>МУНИЦИПАЛЬНОГО   ОБРАЗОВАНИЯ</w:t>
            </w:r>
          </w:p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sz w:val="28"/>
                <w:szCs w:val="28"/>
              </w:rPr>
            </w:pPr>
            <w:r>
              <w:rPr>
                <w:bCs/>
                <w:spacing w:val="-24"/>
                <w:sz w:val="28"/>
                <w:szCs w:val="28"/>
              </w:rPr>
              <w:t>ГОРОД   НАБЕРЕЖНЫЕ  ЧЕЛНЫ</w:t>
            </w:r>
          </w:p>
          <w:p>
            <w:pPr>
              <w:pStyle w:val="Normal"/>
              <w:widowControl w:val="false"/>
              <w:shd w:val="clear" w:color="auto" w:fill="FFFFFF"/>
              <w:ind w:left="27" w:hanging="0"/>
              <w:jc w:val="center"/>
              <w:rPr>
                <w:bCs/>
                <w:spacing w:val="-24"/>
                <w:sz w:val="28"/>
                <w:szCs w:val="28"/>
              </w:rPr>
            </w:pPr>
            <w:r>
              <w:rPr>
                <w:bCs/>
                <w:spacing w:val="-24"/>
                <w:sz w:val="28"/>
                <w:szCs w:val="28"/>
              </w:rPr>
              <w:t>РЕСПУБЛИКИ  ТАТАРСТАН</w:t>
            </w:r>
          </w:p>
          <w:p>
            <w:pPr>
              <w:pStyle w:val="Normal"/>
              <w:widowControl w:val="false"/>
              <w:shd w:val="clear" w:color="auto" w:fill="FFFFFF"/>
              <w:ind w:left="27" w:hanging="0"/>
              <w:jc w:val="center"/>
              <w:rPr>
                <w:bCs/>
                <w:spacing w:val="-24"/>
                <w:sz w:val="16"/>
                <w:szCs w:val="16"/>
              </w:rPr>
            </w:pPr>
            <w:r>
              <w:rPr>
                <w:bCs/>
                <w:spacing w:val="-24"/>
                <w:sz w:val="16"/>
                <w:szCs w:val="16"/>
              </w:rPr>
            </w:r>
          </w:p>
          <w:p>
            <w:pPr>
              <w:pStyle w:val="Normal"/>
              <w:widowControl w:val="false"/>
              <w:shd w:val="clear" w:color="auto" w:fill="FFFFFF"/>
              <w:ind w:left="27" w:hanging="0"/>
              <w:jc w:val="center"/>
              <w:rPr>
                <w:sz w:val="24"/>
                <w:szCs w:val="24"/>
              </w:rPr>
            </w:pPr>
            <w:r>
              <w:rPr>
                <w:bCs/>
                <w:spacing w:val="-24"/>
                <w:sz w:val="24"/>
                <w:szCs w:val="24"/>
              </w:rPr>
              <w:t>УПРАВЛЕНИЕ  ОБРАЗОВАНИЯ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пр. Х.Туфана, 23, г. Набережные Челны, 423805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 w:val="false"/>
              <w:ind w:left="-29" w:right="-170" w:hanging="0"/>
              <w:rPr/>
            </w:pPr>
            <w:r>
              <w:rPr/>
              <w:object>
                <v:shapetype id="_x0000_tole_rId2" coordsize="21600,21600" o:spt="ole_rId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type="_x0000_tole_rId2" style="position:absolute;margin-left:-2.8pt;margin-top:-0.05pt;width:31.85pt;height:39.95pt;mso-wrap-distance-right:0pt;mso-position-horizontal-relative:text;mso-position-vertical-relative:text" filled="f" o:ole="">
                  <v:imagedata r:id="rId3" o:title=""/>
                </v:shape>
                <o:OLEObject Type="Embed" ProgID="AcroExch.Document.DC" ShapeID="ole_rId2" DrawAspect="Content" ObjectID="_1522245002" r:id="rId2"/>
              </w:object>
            </w:r>
          </w:p>
        </w:tc>
        <w:tc>
          <w:tcPr>
            <w:tcW w:w="4461" w:type="dxa"/>
            <w:tcBorders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6"/>
                <w:sz w:val="28"/>
                <w:szCs w:val="28"/>
              </w:rPr>
              <w:t>ТАТАРСТАН  РЕСПУБЛИКАСЫ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0"/>
                <w:sz w:val="28"/>
                <w:szCs w:val="28"/>
              </w:rPr>
              <w:t>ЯР ЧАЛЛЫ  Ш</w:t>
            </w:r>
            <w:r>
              <w:rPr>
                <w:bCs/>
                <w:spacing w:val="-10"/>
                <w:sz w:val="28"/>
                <w:szCs w:val="28"/>
                <w:lang w:val="tt-RU"/>
              </w:rPr>
              <w:t>ӘҺӘ</w:t>
            </w:r>
            <w:r>
              <w:rPr>
                <w:bCs/>
                <w:spacing w:val="-10"/>
                <w:sz w:val="28"/>
                <w:szCs w:val="28"/>
              </w:rPr>
              <w:t>РЕ</w:t>
            </w:r>
          </w:p>
          <w:p>
            <w:pPr>
              <w:pStyle w:val="Normal"/>
              <w:widowControl w:val="false"/>
              <w:shd w:val="clear" w:color="auto" w:fill="FFFFFF"/>
              <w:ind w:left="14" w:hanging="0"/>
              <w:jc w:val="center"/>
              <w:rPr>
                <w:sz w:val="28"/>
                <w:szCs w:val="28"/>
              </w:rPr>
            </w:pPr>
            <w:r>
              <w:rPr>
                <w:bCs/>
                <w:spacing w:val="-15"/>
                <w:sz w:val="28"/>
                <w:szCs w:val="28"/>
              </w:rPr>
              <w:t>МУНИЦИПАЛЬ  БЕР</w:t>
            </w:r>
            <w:r>
              <w:rPr>
                <w:bCs/>
                <w:spacing w:val="-15"/>
                <w:sz w:val="28"/>
                <w:szCs w:val="28"/>
                <w:lang w:val="tt-RU"/>
              </w:rPr>
              <w:t>Ә</w:t>
            </w:r>
            <w:r>
              <w:rPr>
                <w:bCs/>
                <w:spacing w:val="-15"/>
                <w:sz w:val="28"/>
                <w:szCs w:val="28"/>
              </w:rPr>
              <w:t>МЛЕГЕ</w:t>
            </w:r>
          </w:p>
          <w:p>
            <w:pPr>
              <w:pStyle w:val="Normal"/>
              <w:widowControl w:val="false"/>
              <w:shd w:val="clear" w:color="auto" w:fill="FFFFFF"/>
              <w:ind w:left="231" w:hanging="0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БАШКАРМА КОМИТЕТЫ</w:t>
            </w:r>
          </w:p>
          <w:p>
            <w:pPr>
              <w:pStyle w:val="Normal"/>
              <w:widowControl w:val="false"/>
              <w:shd w:val="clear" w:color="auto" w:fill="FFFFFF"/>
              <w:ind w:left="231" w:hanging="0"/>
              <w:jc w:val="center"/>
              <w:rPr>
                <w:spacing w:val="-1"/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МӘГАРИФ ИДАРӘСЕ</w:t>
            </w:r>
          </w:p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12"/>
                <w:szCs w:val="12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</w:rPr>
              <w:t>.Туфан  проспекты, 23, Яр Чаллы ш</w:t>
            </w:r>
            <w:r>
              <w:rPr>
                <w:sz w:val="18"/>
                <w:szCs w:val="18"/>
                <w:lang w:val="tt-RU"/>
              </w:rPr>
              <w:t>әһә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  <w:lang w:val="tt-RU"/>
              </w:rPr>
              <w:t>е</w:t>
            </w:r>
            <w:r>
              <w:rPr>
                <w:sz w:val="18"/>
                <w:szCs w:val="18"/>
              </w:rPr>
              <w:t>, 423805</w:t>
            </w:r>
          </w:p>
        </w:tc>
      </w:tr>
      <w:tr>
        <w:trPr>
          <w:trHeight w:val="392" w:hRule="exact"/>
        </w:trPr>
        <w:tc>
          <w:tcPr>
            <w:tcW w:w="9951" w:type="dxa"/>
            <w:gridSpan w:val="3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tt-RU"/>
              </w:rPr>
              <w:t xml:space="preserve">Тел.(8552) 30-55-60, факс (8552) 30-55-80. </w:t>
            </w:r>
            <w:r>
              <w:rPr>
                <w:lang w:val="en-US"/>
              </w:rPr>
              <w:t>E-mail: uochelny@inbox.ru, www.nabchelny.ru</w:t>
            </w:r>
          </w:p>
        </w:tc>
      </w:tr>
      <w:tr>
        <w:trPr>
          <w:trHeight w:val="680" w:hRule="atLeast"/>
        </w:trPr>
        <w:tc>
          <w:tcPr>
            <w:tcW w:w="4498" w:type="dxa"/>
            <w:tcBorders>
              <w:top w:val="single" w:sz="12" w:space="0" w:color="000000"/>
            </w:tcBorders>
          </w:tcPr>
          <w:p>
            <w:pPr>
              <w:pStyle w:val="Normal"/>
              <w:widowControl w:val="false"/>
              <w:spacing w:before="160" w:after="0"/>
              <w:ind w:right="-391" w:hanging="0"/>
              <w:rPr/>
            </w:pPr>
            <w:r>
              <w:rPr/>
              <w:t xml:space="preserve">17.12.2024 </w:t>
            </w:r>
            <w:r>
              <w:rPr/>
              <w:t xml:space="preserve">№ </w:t>
            </w:r>
            <w:r>
              <w:rPr/>
              <w:t>977</w:t>
            </w:r>
          </w:p>
          <w:p>
            <w:pPr>
              <w:pStyle w:val="Normal"/>
              <w:widowControl w:val="false"/>
              <w:shd w:val="clear" w:color="auto" w:fill="FFFFFF"/>
              <w:spacing w:before="160" w:after="0"/>
              <w:rPr>
                <w:sz w:val="28"/>
                <w:szCs w:val="28"/>
                <w:lang w:val="tt-RU"/>
              </w:rPr>
            </w:pPr>
            <w:r>
              <w:rPr/>
              <w:t>На № _____________от___________________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before="160" w:after="0"/>
              <w:ind w:left="-29" w:right="-170" w:hang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</w:r>
          </w:p>
          <w:p>
            <w:pPr>
              <w:pStyle w:val="Normal"/>
              <w:widowControl w:val="false"/>
              <w:spacing w:before="160" w:after="0"/>
              <w:ind w:left="-29" w:right="-170" w:hanging="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</w:r>
          </w:p>
          <w:p>
            <w:pPr>
              <w:pStyle w:val="Normal"/>
              <w:widowControl w:val="false"/>
              <w:spacing w:before="160" w:after="0"/>
              <w:ind w:left="-29" w:right="-17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46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hd w:val="clear" w:color="auto" w:fill="FFFFFF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№ </w:t>
      </w:r>
      <w:r>
        <w:rPr>
          <w:b/>
          <w:sz w:val="28"/>
          <w:szCs w:val="28"/>
        </w:rPr>
        <w:t>977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Об обеспечении безопасности в период проведения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новогодних мероприятий и мерах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санитарно-эпидемиологического благополучия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 xml:space="preserve">учащихся и воспитанников в период зимних каникул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Кабинета министров Республики Татарстан от 29.11.2024 № 1082 «Об установлении на территории Республики Татарстан особого противопожарного режима», протокола совместного заседания антитеррористической комиссии муниципального образования город Набережные Челны, межведомственной комиссии по профилактике правонарушений и оперативной группы от 09.12.2024, письма отдела надзорной деятельности и профилактической работы по муниципальному образованию г.Набережные Челны от </w:t>
      </w:r>
      <w:r>
        <w:rPr>
          <w:color w:val="000000"/>
          <w:sz w:val="28"/>
          <w:szCs w:val="28"/>
        </w:rPr>
        <w:t>12.12.2024 №7547-4-5-1,</w:t>
      </w:r>
      <w:r>
        <w:rPr>
          <w:sz w:val="28"/>
          <w:szCs w:val="28"/>
        </w:rPr>
        <w:t xml:space="preserve"> в целях предупреждения роста заболеваемости в зимний период,  обеспечения антитеррористической безопасности, в т.ч. диверсий и террористических актов, и повышения противопожарной защиты образовательных учреждений в период проведения новогодних праздничных мероприятий, обеспечения безопасности жизнедеятельности учащихся и воспитанников, сохранности муниципального имущества в образовательных учреждениях,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образовательных организаций: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установить с 25 декабря 2024 года по 8 января 2025 года на всех территориях образовательных организаций особый противопожарный режим;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подготовить приказ о назначении ответственных лиц за пожарную, антитеррористическую и электробезопасность в период проведения новогодних мероприятий; разработать график дежурства администрации и сотрудников образовательных учреждений в праздничные дни; приказ и график довести до ответственных лиц под роспись;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подготовить территории учреждений к проведению массовых мероприятий: проверить исправность наружного освещения, целостность ограждения, безопасное состояние пешеходных дорожек и проездов;</w:t>
      </w:r>
    </w:p>
    <w:p>
      <w:pPr>
        <w:pStyle w:val="Normal"/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ужесточить пропускной режим в образовательных организациях, запретить парковки автотранспорта на территории образовательных организаций;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 xml:space="preserve">провести дополнительный инструктаж по охране труда, пожарной безопасности назначенным ответственным лицам и участникам массового мероприятия с записью в журнале регистрации инструктажей на рабочем месте и обучение должностных лиц, ответственных за проведение новогодних праздничных мероприятий;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организовать усиленное дежурство из состава педагогического и технического персонала при проведении новогодних мероприятий;</w:t>
      </w:r>
      <w:r>
        <w:rPr/>
        <w:t xml:space="preserve"> </w:t>
      </w:r>
      <w:r>
        <w:rPr>
          <w:sz w:val="28"/>
          <w:szCs w:val="28"/>
        </w:rPr>
        <w:t xml:space="preserve">усилить контроль за несением дежурства сотрудниками;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не допускать использование электрических гирлянд, не имеющих соответствующих сертификатов соответствия, установленных законодательством, а также новогодних украшений, искусственных елок, в технической документации на которые не указаны показатели их пожарной опасности и меры пожарной безопасности при обращении с ними;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– </w:t>
      </w:r>
      <w:r>
        <w:rPr>
          <w:sz w:val="28"/>
          <w:szCs w:val="28"/>
        </w:rPr>
        <w:t>тщательно проверить все помещения, эвакуационные пути и выходы на соответствие их требованиям пожарной безопасности до начала массового мероприятия, а также убедиться в наличии и исправности первичных средств пожаротушения, средств связи, пожарной автоматики (систем оповещения и управления эвакуацией людей при пожаре, систем дымоудаления) противопожарного водоснабжения, а также электрооборудования;</w:t>
      </w:r>
    </w:p>
    <w:p>
      <w:pPr>
        <w:pStyle w:val="Style19"/>
        <w:rPr>
          <w:sz w:val="28"/>
          <w:szCs w:val="28"/>
        </w:rPr>
      </w:pPr>
      <w:r>
        <w:rPr>
          <w:sz w:val="28"/>
          <w:szCs w:val="28"/>
        </w:rPr>
        <w:t xml:space="preserve">         – </w:t>
      </w:r>
      <w:r>
        <w:rPr>
          <w:sz w:val="28"/>
          <w:szCs w:val="28"/>
        </w:rPr>
        <w:t>проверить окна помещений, где проводятся массовые мероприятия, при наличии распашных решеток, на время проведения мероприятий, необходимо открыть замки;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согласовать установку новогодней ёлки со специалистами отдела надзорной деятельности;</w:t>
      </w:r>
    </w:p>
    <w:p>
      <w:pPr>
        <w:pStyle w:val="ListParagraph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установить запрет на использование пиротехнических изделий 1–3 класса опасности на территориях, расположенных в пределах 50 метров от границ объектов образования;</w:t>
      </w:r>
    </w:p>
    <w:p>
      <w:pPr>
        <w:pStyle w:val="ListParagraph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ввести запрет на использование пиротехнических изделий внутри зданий и помещений при проведении праздничных мероприятий с массовым пребыванием людей, а также проведения шоу с применением открытого огня;</w:t>
      </w:r>
    </w:p>
    <w:p>
      <w:pPr>
        <w:pStyle w:val="ListParagraph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-усилить контроль за противопожарным режимом, в том числе по запрету курения в учреждениях;</w:t>
      </w:r>
    </w:p>
    <w:p>
      <w:pPr>
        <w:pStyle w:val="ListParagraph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организовать работу по своевременной очистке от снега и наледи в зимнее время пожарных гидрантов, дорог, подъездов и проездов к образовательным учреждениям, источникам наружного противопожарного водоснабжения;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обеспечить очистку крыш зданий и сооружений образовательных организаций от снега и наледи;</w:t>
      </w:r>
    </w:p>
    <w:p>
      <w:pPr>
        <w:pStyle w:val="ListParagraph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руководителям организаций, имеющих на балансе источники наружного противопожарного водоснабжения, принять меры, направленные на содержание их в исправном состоянии, в том числе обеспечить доступ пожарных автомобилей к водоисточникам, а также своевременно проводить очистку водоисточников от снега и наледи;</w:t>
      </w:r>
    </w:p>
    <w:p>
      <w:pPr>
        <w:pStyle w:val="ListParagraph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принять меры по материально-техническому обеспечению объектов образования средствами индивидуальной защиты и пожаротушения;</w:t>
      </w:r>
    </w:p>
    <w:p>
      <w:pPr>
        <w:pStyle w:val="Normal"/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организовать практическую отработку действий персонала, учащихся и воспитанников при возникновении пожара и других чрезвычайных ситуаций;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провести перед каникулами дополнительные инструктажи с учащимися и воспитанниками на темы:</w:t>
      </w:r>
    </w:p>
    <w:p>
      <w:pPr>
        <w:pStyle w:val="Normal"/>
        <w:widowControl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  <w:t>1)  правила безопасного поведения на дорогах, на улице, в общественных местах;</w:t>
      </w:r>
    </w:p>
    <w:p>
      <w:pPr>
        <w:pStyle w:val="Normal"/>
        <w:widowControl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  <w:t>2)  правила пользования электронагревательными приборами и газовым оборудованием;</w:t>
      </w:r>
    </w:p>
    <w:p>
      <w:pPr>
        <w:pStyle w:val="Normal"/>
        <w:widowControl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  <w:t>3)  правила поведения при обнаружении возгорания;</w:t>
      </w:r>
    </w:p>
    <w:p>
      <w:pPr>
        <w:pStyle w:val="Normal"/>
        <w:widowControl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  <w:t>4)  правила безопасности в связи с возможностью обрушения льда с крыш домов и инженерных сооружений;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уведомить родителей (законных представителей) об ответственности за жизнь и здоровье детей в период зимних каникул, о недопущении оставления детей без присмотра, особенно в местах, представляющих угрозу жизни и здоровью детей, об административной ответственности за нарушение закона № 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 (с подписями для ознакомления);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 xml:space="preserve">обеспечить информирование родителей о необходимости усиления контроля за поведением детей на улице и их местонахождением, о возрастающих рисках, связанных с наступлением холодного времени года: </w:t>
      </w:r>
    </w:p>
    <w:p>
      <w:pPr>
        <w:pStyle w:val="Normal"/>
        <w:widowControl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  <w:t>1)  при занятиях зимними видами спорта и играми;</w:t>
      </w:r>
    </w:p>
    <w:p>
      <w:pPr>
        <w:pStyle w:val="Normal"/>
        <w:widowControl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  <w:t>2)  при случаях неконтролируемого падения снега и наледи с выступающих частей зданий и инженерных сооружений;</w:t>
      </w:r>
    </w:p>
    <w:p>
      <w:pPr>
        <w:pStyle w:val="Normal"/>
        <w:widowControl/>
        <w:ind w:left="567" w:hanging="0"/>
        <w:jc w:val="both"/>
        <w:rPr>
          <w:sz w:val="28"/>
          <w:szCs w:val="28"/>
        </w:rPr>
      </w:pPr>
      <w:r>
        <w:rPr>
          <w:sz w:val="28"/>
          <w:szCs w:val="28"/>
        </w:rPr>
        <w:t>3)  при использовании различных пиротехнических изделий или неисправных и иных нагревательных приборов при отоплении помещений;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предусмотреть отдельное помещение для хранения новогодних подарков, обеспечить соблюдение условий хранения пищевых продуктов, входящих в состав подарка, в соответствии с требованиями, установленными изготовителем (температура, влажность);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 xml:space="preserve">обеспечить запас моющих и дезинфицирующих средств, в том числе с противовирусным эффектом, средств для неспецифической профилактики гриппа, ОРВИ, ЭВИ и </w:t>
      </w:r>
      <w:r>
        <w:rPr>
          <w:bCs/>
          <w:color w:val="202122"/>
          <w:sz w:val="28"/>
          <w:szCs w:val="28"/>
          <w:shd w:fill="FFFFFF" w:val="clear"/>
        </w:rPr>
        <w:t>COVID-19</w:t>
      </w:r>
      <w:r>
        <w:rPr>
          <w:sz w:val="28"/>
          <w:szCs w:val="28"/>
        </w:rPr>
        <w:t xml:space="preserve"> (маски и перчатки), аптечек для оказания медицинской помощи; 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обеспечить достаточный запас уборочного инвентаря;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обеспечить наличие условий для соблюдения правил личной гигиены (мыло, бумажные полотенца, электрополотенца);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проверить наличие у сотрудников, участвующих в проведении новогодних мероприятий, личных медицинских книжек с полными сведениями о прохождении медосмотров, проведении профилактических прививок, прохождения профильного гигиенического обучения;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провести своевременные обработки помещений против грызунов и насекомых.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Ответственность за организацию безопасных перевозок детей возложить на руководителей образовательных организаций.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Организовать системный и постоянный контроль сохранности и бесперебойного функционирования систем жизнеобеспечения зданий и территорий: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провести осмотр инженерных коммуникаций (отопление, горячее и холодное водоснабжение, канализация, система освещения) в образовательных учреждениях;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обеспечить контроль за соответствием требований безопасности спортивных и детских игровых площадок на территории образовательных организаций;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>
        <w:rPr>
          <w:sz w:val="28"/>
          <w:szCs w:val="28"/>
        </w:rPr>
        <w:t>обеспечить ежедневный обход (осмотр) территорий, помещений, конструкций зданий (заборов, игровых площадок, спортивных снарядов, ступеней, лестничных площадок и т. д.) образовательных учреждений с целью выявления и незамедлительного устранения факторов, представляющих угрозу жизни и здоровью детей, работников.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В случае возникновения чрезвычайной ситуации на территории образовательной организации действовать в строгом соответствии с Алгоритмами действий персонала образовательной организации, работников частных охранных организаций и обучающихся (воспитанников). Незамедлительно информировать управление образования  и территориальные органы МВД, Росгвардии в случае возникновения внештатных ситуаций.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 Контроль за исполнением данного приказа возложить на первого заместителя начальника управления образования Н. В. Кашапова.</w:t>
      </w:r>
    </w:p>
    <w:p>
      <w:pPr>
        <w:pStyle w:val="Style2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                                                            Р. Н. Хузин</w:t>
      </w:r>
    </w:p>
    <w:p>
      <w:pPr>
        <w:pStyle w:val="Style2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jc w:val="both"/>
        <w:rPr>
          <w:sz w:val="20"/>
          <w:szCs w:val="20"/>
        </w:rPr>
      </w:pPr>
      <w:r>
        <w:rPr>
          <w:sz w:val="20"/>
          <w:szCs w:val="20"/>
        </w:rPr>
        <w:t>Анчина Е.Д</w:t>
      </w:r>
    </w:p>
    <w:p>
      <w:pPr>
        <w:pStyle w:val="Style24"/>
        <w:jc w:val="both"/>
        <w:rPr>
          <w:sz w:val="20"/>
          <w:szCs w:val="20"/>
        </w:rPr>
      </w:pPr>
      <w:r>
        <w:rPr>
          <w:sz w:val="20"/>
          <w:szCs w:val="20"/>
        </w:rPr>
        <w:t>(8552)56-14-81</w:t>
      </w:r>
    </w:p>
    <w:p>
      <w:pPr>
        <w:pStyle w:val="Style24"/>
        <w:jc w:val="both"/>
        <w:rPr>
          <w:sz w:val="20"/>
          <w:szCs w:val="20"/>
        </w:rPr>
      </w:pPr>
      <w:r>
        <w:rPr>
          <w:sz w:val="20"/>
          <w:szCs w:val="20"/>
        </w:rPr>
        <w:t>Галиева Д.А.</w:t>
      </w:r>
    </w:p>
    <w:p>
      <w:pPr>
        <w:pStyle w:val="Style24"/>
        <w:jc w:val="both"/>
        <w:rPr>
          <w:sz w:val="20"/>
          <w:szCs w:val="20"/>
        </w:rPr>
      </w:pPr>
      <w:r>
        <w:rPr>
          <w:sz w:val="20"/>
          <w:szCs w:val="20"/>
        </w:rPr>
        <w:t>(8552)30-57-32</w:t>
      </w:r>
    </w:p>
    <w:sectPr>
      <w:type w:val="nextPage"/>
      <w:pgSz w:w="11906" w:h="16838"/>
      <w:pgMar w:left="1134" w:right="849" w:gutter="0" w:header="0" w:top="851" w:footer="0" w:bottom="709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f424a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3">
    <w:name w:val="Heading 3"/>
    <w:basedOn w:val="Normal"/>
    <w:link w:val="31"/>
    <w:uiPriority w:val="9"/>
    <w:qFormat/>
    <w:rsid w:val="002b269e"/>
    <w:pPr>
      <w:widowControl/>
      <w:spacing w:beforeAutospacing="1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27032a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link w:val="BalloonText"/>
    <w:uiPriority w:val="99"/>
    <w:semiHidden/>
    <w:qFormat/>
    <w:rsid w:val="00bf424a"/>
    <w:rPr>
      <w:rFonts w:ascii="Tahoma" w:hAnsi="Tahoma" w:eastAsia="Times New Roman" w:cs="Tahoma"/>
      <w:sz w:val="16"/>
      <w:szCs w:val="16"/>
      <w:lang w:eastAsia="ru-RU"/>
    </w:rPr>
  </w:style>
  <w:style w:type="character" w:styleId="-">
    <w:name w:val="Hyperlink"/>
    <w:uiPriority w:val="99"/>
    <w:unhideWhenUsed/>
    <w:rsid w:val="00db4940"/>
    <w:rPr>
      <w:color w:val="0000FF"/>
      <w:u w:val="single"/>
    </w:rPr>
  </w:style>
  <w:style w:type="character" w:styleId="Style13" w:customStyle="1">
    <w:name w:val="Нижний колонтитул Знак"/>
    <w:uiPriority w:val="99"/>
    <w:qFormat/>
    <w:rsid w:val="00e6539b"/>
    <w:rPr>
      <w:rFonts w:eastAsia="Times New Roman"/>
      <w:sz w:val="24"/>
      <w:szCs w:val="24"/>
    </w:rPr>
  </w:style>
  <w:style w:type="character" w:styleId="Style14" w:customStyle="1">
    <w:name w:val="Абзац списка Знак"/>
    <w:link w:val="ListParagraph"/>
    <w:uiPriority w:val="34"/>
    <w:qFormat/>
    <w:locked/>
    <w:rsid w:val="00e6539b"/>
    <w:rPr>
      <w:rFonts w:eastAsia="Times New Roman"/>
    </w:rPr>
  </w:style>
  <w:style w:type="character" w:styleId="31" w:customStyle="1">
    <w:name w:val="Заголовок 3 Знак"/>
    <w:uiPriority w:val="9"/>
    <w:qFormat/>
    <w:rsid w:val="002b269e"/>
    <w:rPr>
      <w:rFonts w:eastAsia="Times New Roman"/>
      <w:b/>
      <w:bCs/>
      <w:sz w:val="27"/>
      <w:szCs w:val="27"/>
    </w:rPr>
  </w:style>
  <w:style w:type="character" w:styleId="41" w:customStyle="1">
    <w:name w:val="Заголовок 4 Знак"/>
    <w:uiPriority w:val="9"/>
    <w:semiHidden/>
    <w:qFormat/>
    <w:rsid w:val="0027032a"/>
    <w:rPr>
      <w:rFonts w:ascii="Calibri" w:hAnsi="Calibri" w:eastAsia="Times New Roman" w:cs="Times New Roman"/>
      <w:b/>
      <w:bCs/>
      <w:sz w:val="28"/>
      <w:szCs w:val="28"/>
    </w:rPr>
  </w:style>
  <w:style w:type="character" w:styleId="Style15" w:customStyle="1">
    <w:name w:val="Верхний колонтитул Знак"/>
    <w:uiPriority w:val="99"/>
    <w:qFormat/>
    <w:rsid w:val="00ee4510"/>
    <w:rPr>
      <w:rFonts w:eastAsia="Times New Roman"/>
    </w:rPr>
  </w:style>
  <w:style w:type="character" w:styleId="Style16" w:customStyle="1">
    <w:name w:val="Без интервала Знак"/>
    <w:link w:val="NoSpacing"/>
    <w:uiPriority w:val="1"/>
    <w:qFormat/>
    <w:rsid w:val="00bd57f1"/>
    <w:rPr>
      <w:rFonts w:ascii="Calibri" w:hAnsi="Calibri" w:eastAsia="Times New Roman"/>
      <w:sz w:val="22"/>
      <w:szCs w:val="22"/>
    </w:rPr>
  </w:style>
  <w:style w:type="character" w:styleId="Style17" w:customStyle="1">
    <w:name w:val="Основной текст Знак"/>
    <w:qFormat/>
    <w:rsid w:val="00493d4e"/>
    <w:rPr>
      <w:rFonts w:eastAsia="Times New Roman"/>
      <w:sz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link w:val="Style17"/>
    <w:rsid w:val="00493d4e"/>
    <w:pPr>
      <w:widowControl/>
      <w:jc w:val="both"/>
    </w:pPr>
    <w:rPr>
      <w:sz w:val="24"/>
    </w:rPr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f424a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1a7b01"/>
    <w:pPr>
      <w:widowControl/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link w:val="Style14"/>
    <w:uiPriority w:val="99"/>
    <w:qFormat/>
    <w:rsid w:val="00e6539b"/>
    <w:pPr>
      <w:spacing w:before="0" w:after="0"/>
      <w:ind w:left="720" w:hanging="0"/>
      <w:contextualSpacing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Footer"/>
    <w:basedOn w:val="Normal"/>
    <w:link w:val="Style13"/>
    <w:uiPriority w:val="99"/>
    <w:rsid w:val="00e6539b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25">
    <w:name w:val="Header"/>
    <w:basedOn w:val="Normal"/>
    <w:link w:val="Style15"/>
    <w:uiPriority w:val="99"/>
    <w:unhideWhenUsed/>
    <w:rsid w:val="00ee45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Spacing">
    <w:name w:val="No Spacing"/>
    <w:link w:val="Style16"/>
    <w:uiPriority w:val="1"/>
    <w:qFormat/>
    <w:rsid w:val="00bd57f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f424a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7A8AC-89B9-4FC8-8DEC-802DBFFF6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Application>LibreOffice/7.5.6.2$Linux_X86_64 LibreOffice_project/50$Build-2</Application>
  <AppVersion>15.0000</AppVersion>
  <Pages>4</Pages>
  <Words>1024</Words>
  <Characters>7936</Characters>
  <CharactersWithSpaces>9022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2023-12-15T10:25:00Z</dcterms:created>
  <dc:creator>ziganshinagk</dc:creator>
  <dc:description/>
  <dc:language>ru-RU</dc:language>
  <cp:lastModifiedBy/>
  <cp:lastPrinted>2023-12-15T10:22:00Z</cp:lastPrinted>
  <dcterms:modified xsi:type="dcterms:W3CDTF">2024-12-17T14:45:04Z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